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56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D66A5"/>
          <w:spacing w:val="0"/>
          <w:sz w:val="47"/>
          <w:szCs w:val="4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D66A5"/>
          <w:spacing w:val="0"/>
          <w:sz w:val="47"/>
          <w:szCs w:val="47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D66A5"/>
          <w:spacing w:val="0"/>
          <w:sz w:val="47"/>
          <w:szCs w:val="47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D66A5"/>
          <w:spacing w:val="0"/>
          <w:sz w:val="47"/>
          <w:szCs w:val="47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D66A5"/>
          <w:spacing w:val="0"/>
          <w:sz w:val="47"/>
          <w:szCs w:val="47"/>
          <w:lang w:val="en-US" w:eastAsia="zh-CN"/>
        </w:rPr>
        <w:t>鸡冠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D66A5"/>
          <w:spacing w:val="0"/>
          <w:sz w:val="47"/>
          <w:szCs w:val="47"/>
        </w:rPr>
        <w:t>区“三公”经费预算安排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56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2D66A5"/>
          <w:spacing w:val="0"/>
          <w:sz w:val="47"/>
          <w:szCs w:val="4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D66A5"/>
          <w:spacing w:val="0"/>
          <w:sz w:val="47"/>
          <w:szCs w:val="47"/>
        </w:rPr>
        <w:t>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620" w:lineRule="atLeast"/>
        <w:ind w:left="0" w:right="0" w:firstLine="640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年我区“三公”经费财政拨款预算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万元，跟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年预算持平，其中，因公出国（境）费年初未安排，公务用车购置及运行维护费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255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万元，与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年预算持平，（其中：公务用车购置费未安排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,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公务用车运行费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255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万元），公务接待费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35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万元，与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年预算持平。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6" w:lineRule="atLeast"/>
        <w:ind w:left="0" w:right="0" w:firstLine="640"/>
        <w:jc w:val="left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按照《十八届中央政治局关于改进工作作风、密切联系群众的八项规定》、《党政机关厉行节约反对浪费条例》等有关精神和国务院“约法三章”的要求,我区将继续完善“三公”经费管理制度,细化各部门“三公”经费预算编制,严格控制“三公”经费预算规模,确保本年度“三公”经费预算总规模比上年只减不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MGUwYjRmMzQ5Yzg2NWFjZmM2YjhjMWMwZDY2MDYifQ=="/>
  </w:docVars>
  <w:rsids>
    <w:rsidRoot w:val="00000000"/>
    <w:rsid w:val="17430AB9"/>
    <w:rsid w:val="3E520807"/>
    <w:rsid w:val="46E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2024-01-17T06:00:00Z</dcterms:created>
  <dc:creator>lenovo</dc:creator>
  <cp:lastModifiedBy>Андрей、</cp:lastModifiedBy>
  <dcterms:modified xsi:type="dcterms:W3CDTF">2024-01-17T06:57:22Z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AB7401A6A3FC4C4287DF9CBD184A161F_12</vt:lpwstr>
  </property>
</Properties>
</file>